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58954EFE"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w:t>
      </w:r>
      <w:r w:rsidRPr="00A76061">
        <w:rPr>
          <w:rFonts w:ascii="ＭＳ 明朝" w:hAnsi="Century" w:hint="eastAsia"/>
          <w:color w:val="auto"/>
          <w:lang w:eastAsia="zh-TW"/>
        </w:rPr>
        <w:t xml:space="preserve">　　　　　　　　　　様</w:t>
      </w:r>
    </w:p>
    <w:p w14:paraId="2C5DB8F2" w14:textId="77777777" w:rsidR="00220314" w:rsidRPr="002D4D1D"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2D4D1D"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2D4D1D"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2D4D1D"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2D4D1D"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2D4D1D"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2D4D1D"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2D4D1D"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2D4D1D"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2D4D1D"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2D4D1D"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2D4D1D"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2D4D1D"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2D4D1D"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2D4D1D"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2D4D1D"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2D4D1D"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2D4D1D"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2D4D1D"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2D4D1D"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2D4D1D"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2D4D1D"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2D4D1D"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2D4D1D"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2D4D1D"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2D4D1D"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2D4D1D"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2D4D1D"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2D4D1D"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2D4D1D"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2D4D1D"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2D4D1D"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2D4D1D"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2D4D1D"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2D4D1D">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2D4D1D"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2D4D1D"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2D4D1D"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2D4D1D"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2D4D1D"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2D4D1D"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2D4D1D"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2D4D1D"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2D4D1D"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2D4D1D"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2D4D1D"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2D4D1D"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2D4D1D"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2D4D1D"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2D4D1D"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2D4D1D"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2D4D1D"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2D4D1D"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2D4D1D"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2D4D1D"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2D4D1D"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2D4D1D"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2D4D1D"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2D4D1D"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2D4D1D"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2D4D1D"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2D4D1D"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D4D1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2790</Words>
  <Characters>15904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渡邉　拓</cp:lastModifiedBy>
  <cp:revision>6</cp:revision>
  <cp:lastPrinted>2020-11-17T07:30:00Z</cp:lastPrinted>
  <dcterms:created xsi:type="dcterms:W3CDTF">2024-03-13T06:34:00Z</dcterms:created>
  <dcterms:modified xsi:type="dcterms:W3CDTF">2024-04-15T01:31:00Z</dcterms:modified>
</cp:coreProperties>
</file>